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E0865"/>
    <w:p w14:paraId="024A660E">
      <w:pP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智能中医四诊仪技术参数</w:t>
      </w:r>
    </w:p>
    <w:p w14:paraId="006EC250">
      <w:pP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</w:p>
    <w:p w14:paraId="307A25AA">
      <w:pP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</w:p>
    <w:p w14:paraId="28B00EC4">
      <w:pPr>
        <w:rPr>
          <w:rFonts w:hint="default" w:ascii="Times New Roman" w:hAnsi="Times New Roman" w:eastAsia="方正仿宋简体" w:cs="Times New Roman"/>
          <w:sz w:val="28"/>
          <w:szCs w:val="28"/>
        </w:rPr>
      </w:pPr>
    </w:p>
    <w:p w14:paraId="5C5FA87E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 xml:space="preserve"> 1、设备具备舌象、面象、脉象、问诊等采集分析功能，使用年限不低于十年，出具报告无需连接外网。</w:t>
      </w:r>
    </w:p>
    <w:p w14:paraId="05DC0083">
      <w:pP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2、设备由台车一体化组成，台车内含安全隔离电源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</w:p>
    <w:p w14:paraId="7312484F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3、舌面采集系统配备单反相机，具有单独可拆卸的隔离保护装置，保护装置拆卸设备方可正常使用.</w:t>
      </w:r>
    </w:p>
    <w:p w14:paraId="6C172991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 xml:space="preserve">4、光源模块显色指数≥90，图像采集相机像素≥1500万，正常工作时拍摄光源全部点亮。 </w:t>
      </w:r>
    </w:p>
    <w:p w14:paraId="6B54BF6C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5、舌象、面象采集窗口光源照度值允差范围:3000LX±10%;色温范围在4500k-6500k之间。采集箱带有上下移动的唾液接盘及下颚托，可以拆卸消毒。</w:t>
      </w:r>
    </w:p>
    <w:p w14:paraId="6DC61E82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6、相机拍摄标准≥24色色卡，拍摄后文件中对应的LAB值，与标准的LAB值进行比较，其误差应≤10；</w:t>
      </w:r>
    </w:p>
    <w:p w14:paraId="7DC987C7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7、设备具备分析舌象特征功能，舌象分析方向≥4个，需包含舌色分析结果、舌苔苔色色分析、舌苔苔质分析、舌象舌形分析；</w:t>
      </w:r>
    </w:p>
    <w:p w14:paraId="271B27A8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8、设备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具备分析面象特征，面色分析方向≥4个;需包含:面部面色分析、面部光泽分析、面部唇色分析，面部整体面色分析结果≥11种，面部局部特征分析结果≥2 种,面部光泽分析结果≥3种,面部唇色分析结果≥3种；</w:t>
      </w:r>
    </w:p>
    <w:p w14:paraId="658C428B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9、脉象传感器为纯电机驱动的机械加压装置，非气动加压，避免气管破损漏气导致测量不准，并且可进行方框十字卡扣定位校正；</w:t>
      </w:r>
    </w:p>
    <w:p w14:paraId="4F64DF1B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10、脉象采集电机加压传感器具有过载保护，可承受≥4.8kg过载，灵敏度≥2.2mv/g；</w:t>
      </w:r>
    </w:p>
    <w:p w14:paraId="526666B4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11、设备不光能够进行九种体质辨识，也能够结合舌、面、脉、问等四诊信息自动识别出≥12种体质辨识结果，至少包含平和、寒、气虚、气滞、热、湿热、痰湿、血虚、血瘀、阳虚、阴虚、特禀质等；</w:t>
      </w:r>
    </w:p>
    <w:p w14:paraId="16D7426E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12、须根据中医舌象、面象、脉象及问诊等客观四诊化信息，自动识别出不低于25种中医脏腑辨证分型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</w:p>
    <w:p w14:paraId="213DB93B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 xml:space="preserve"> 13、舌、面信息采集时，图像采集镜头可根据舌、面采集项目改变自动调整拍摄角度，可调角度10°-30°之间。</w:t>
      </w:r>
    </w:p>
    <w:p w14:paraId="41C10332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14、软件具备不低于4套单独的女性健康状态测评模块，至少包含备孕、孕期、产后、围绝经期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</w:p>
    <w:p w14:paraId="41E0D232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15、儿童体质辨识模块内须具备不低于2套体质辨识量表。能够根据填写的问卷量表智能分析0-6、6-12周岁不同年龄段的儿童体质偏颇情况；</w:t>
      </w:r>
    </w:p>
    <w:p w14:paraId="095318EC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16、可辨识出不低于9种的儿童中医体质类型结果，至少包含健康体、气虚体、阳虚体、痰湿体、积滞体、肝火体、热盛体、怯弱体、高敏体等；</w:t>
      </w:r>
    </w:p>
    <w:p w14:paraId="2714D787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17、可根据女性备孕、孕期、产后、围绝经期等不同时期进行检测模块选择。</w:t>
      </w:r>
    </w:p>
    <w:p w14:paraId="2425E2A7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18、五态性格测评系统。</w:t>
      </w:r>
    </w:p>
    <w:p w14:paraId="16357F3F">
      <w:pPr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19、所提供的个性化养生调理方案，包含饮食调理、药物调理，运动调理，食疗食谱等内容，为被测试者提供个性化的健康养生指导建议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20、具备科研数据分析功能，系统须支持描述性统计，通过集中趋势、离散趋势等描述数据分布，自动绘制折线图，箱式图等统计图形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E496C"/>
    <w:rsid w:val="07DE496C"/>
    <w:rsid w:val="176D523A"/>
    <w:rsid w:val="337550F6"/>
    <w:rsid w:val="416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7"/>
      <w:szCs w:val="27"/>
      <w:lang w:val="en-US" w:eastAsia="zh-CN" w:bidi="ar-SA"/>
    </w:rPr>
  </w:style>
  <w:style w:type="paragraph" w:styleId="5">
    <w:name w:val="List Paragraph"/>
    <w:basedOn w:val="1"/>
    <w:qFormat/>
    <w:uiPriority w:val="1"/>
    <w:pPr>
      <w:ind w:left="323" w:hanging="62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1150</Characters>
  <Lines>0</Lines>
  <Paragraphs>0</Paragraphs>
  <TotalTime>5</TotalTime>
  <ScaleCrop>false</ScaleCrop>
  <LinksUpToDate>false</LinksUpToDate>
  <CharactersWithSpaces>1177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2026-04-20T05:17:00Z</dcterms:created>
  <dc:creator>ASD</dc:creator>
  <cp:lastModifiedBy>林杰</cp:lastModifiedBy>
  <dcterms:modified xsi:type="dcterms:W3CDTF">2026-05-15T00:36:06Z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E7ED5F24E08D4622B0AAAC0EA99CFBA9_11</vt:lpwstr>
  </property>
  <property fmtid="{D5CDD505-2E9C-101B-9397-08002B2CF9AE}" pid="4" name="KSOTemplateDocerSaveRecord">
    <vt:lpwstr>eyJoZGlkIjoiMDZmMGMwN2Q1YzUzNTJjY2ZkNGNmZjc4YjNiYjgzMDEiLCJ1c2VySWQiOiIxNDE5OTI5NjYyIn0=</vt:lpwstr>
  </property>
</Properties>
</file>